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6050" w14:textId="77777777" w:rsidR="006927CC" w:rsidRPr="003C2C82" w:rsidRDefault="00BC6BD2" w:rsidP="006927CC">
      <w:pPr>
        <w:spacing w:after="225" w:line="240" w:lineRule="auto"/>
        <w:outlineLvl w:val="0"/>
        <w:rPr>
          <w:rFonts w:ascii="Arial" w:eastAsia="Times New Roman" w:hAnsi="Arial" w:cs="Arial"/>
          <w:b/>
          <w:bCs/>
          <w:color w:val="333333"/>
          <w:kern w:val="36"/>
          <w:sz w:val="55"/>
          <w:szCs w:val="55"/>
          <w:lang w:val="sv-SE"/>
        </w:rPr>
      </w:pPr>
      <w:r w:rsidRPr="003C2C82">
        <w:rPr>
          <w:rFonts w:ascii="Arial" w:eastAsia="Times New Roman" w:hAnsi="Arial" w:cs="Arial"/>
          <w:b/>
          <w:bCs/>
          <w:color w:val="333333"/>
          <w:kern w:val="36"/>
          <w:sz w:val="55"/>
          <w:szCs w:val="55"/>
          <w:lang w:val="en-GB"/>
        </w:rPr>
        <w:t>Act (2021:34) on refusal of access to shops, bathing establishments and libraries</w:t>
      </w:r>
    </w:p>
    <w:p w14:paraId="092BA107" w14:textId="77777777" w:rsidR="006927CC" w:rsidRPr="003C2C82" w:rsidRDefault="00BC6BD2" w:rsidP="006927CC">
      <w:pPr>
        <w:spacing w:after="0" w:line="240" w:lineRule="auto"/>
        <w:rPr>
          <w:rFonts w:ascii="Times New Roman" w:eastAsia="Times New Roman" w:hAnsi="Times New Roman" w:cs="Times New Roman"/>
          <w:sz w:val="24"/>
          <w:szCs w:val="24"/>
          <w:lang w:val="sv-SE"/>
        </w:rPr>
      </w:pPr>
      <w:r w:rsidRPr="003C2C82">
        <w:rPr>
          <w:rFonts w:ascii="Times New Roman" w:eastAsia="Times New Roman" w:hAnsi="Times New Roman" w:cs="Times New Roman"/>
          <w:sz w:val="24"/>
          <w:szCs w:val="24"/>
          <w:lang w:val="en-GB"/>
        </w:rPr>
        <w:t>until SFS 2022:406</w:t>
      </w:r>
      <w:r w:rsidRPr="003C2C82">
        <w:rPr>
          <w:rFonts w:ascii="Times New Roman" w:eastAsia="Times New Roman" w:hAnsi="Times New Roman" w:cs="Times New Roman"/>
          <w:b/>
          <w:bCs/>
          <w:sz w:val="24"/>
          <w:szCs w:val="24"/>
          <w:lang w:val="en-GB"/>
        </w:rPr>
        <w:t>SFS no</w:t>
      </w:r>
      <w:r w:rsidRPr="003C2C82">
        <w:rPr>
          <w:rFonts w:ascii="Times New Roman" w:eastAsia="Times New Roman" w:hAnsi="Times New Roman" w:cs="Times New Roman"/>
          <w:sz w:val="24"/>
          <w:szCs w:val="24"/>
          <w:lang w:val="en-GB"/>
        </w:rPr>
        <w:t>: 2021:34</w:t>
      </w:r>
      <w:r w:rsidRPr="003C2C82">
        <w:rPr>
          <w:rFonts w:ascii="Times New Roman" w:eastAsia="Times New Roman" w:hAnsi="Times New Roman" w:cs="Times New Roman"/>
          <w:sz w:val="24"/>
          <w:szCs w:val="24"/>
          <w:lang w:val="en-GB"/>
        </w:rPr>
        <w:br/>
      </w:r>
      <w:r w:rsidRPr="003C2C82">
        <w:rPr>
          <w:rFonts w:ascii="Times New Roman" w:eastAsia="Times New Roman" w:hAnsi="Times New Roman" w:cs="Times New Roman"/>
          <w:b/>
          <w:bCs/>
          <w:sz w:val="24"/>
          <w:szCs w:val="24"/>
          <w:lang w:val="en-GB"/>
        </w:rPr>
        <w:t>Ministry/Authority</w:t>
      </w:r>
      <w:r w:rsidRPr="003C2C82">
        <w:rPr>
          <w:rFonts w:ascii="Times New Roman" w:eastAsia="Times New Roman" w:hAnsi="Times New Roman" w:cs="Times New Roman"/>
          <w:sz w:val="24"/>
          <w:szCs w:val="24"/>
          <w:lang w:val="en-GB"/>
        </w:rPr>
        <w:t>: Ministry of Justice L5</w:t>
      </w:r>
      <w:r w:rsidRPr="003C2C82">
        <w:rPr>
          <w:rFonts w:ascii="Times New Roman" w:eastAsia="Times New Roman" w:hAnsi="Times New Roman" w:cs="Times New Roman"/>
          <w:sz w:val="24"/>
          <w:szCs w:val="24"/>
          <w:lang w:val="en-GB"/>
        </w:rPr>
        <w:br/>
      </w:r>
      <w:r w:rsidRPr="003C2C82">
        <w:rPr>
          <w:rFonts w:ascii="Times New Roman" w:eastAsia="Times New Roman" w:hAnsi="Times New Roman" w:cs="Times New Roman"/>
          <w:b/>
          <w:bCs/>
          <w:sz w:val="24"/>
          <w:szCs w:val="24"/>
          <w:lang w:val="en-GB"/>
        </w:rPr>
        <w:t>Issued</w:t>
      </w:r>
      <w:r w:rsidRPr="003C2C82">
        <w:rPr>
          <w:rFonts w:ascii="Times New Roman" w:eastAsia="Times New Roman" w:hAnsi="Times New Roman" w:cs="Times New Roman"/>
          <w:sz w:val="24"/>
          <w:szCs w:val="24"/>
          <w:lang w:val="en-GB"/>
        </w:rPr>
        <w:t>: 2021-01-28</w:t>
      </w:r>
      <w:r w:rsidRPr="003C2C82">
        <w:rPr>
          <w:rFonts w:ascii="Times New Roman" w:eastAsia="Times New Roman" w:hAnsi="Times New Roman" w:cs="Times New Roman"/>
          <w:sz w:val="24"/>
          <w:szCs w:val="24"/>
          <w:lang w:val="en-GB"/>
        </w:rPr>
        <w:br/>
      </w:r>
      <w:r w:rsidRPr="003C2C82">
        <w:rPr>
          <w:rFonts w:ascii="Times New Roman" w:eastAsia="Times New Roman" w:hAnsi="Times New Roman" w:cs="Times New Roman"/>
          <w:b/>
          <w:bCs/>
          <w:sz w:val="24"/>
          <w:szCs w:val="24"/>
          <w:lang w:val="en-GB"/>
        </w:rPr>
        <w:t>Amended</w:t>
      </w:r>
      <w:r w:rsidRPr="003C2C82">
        <w:rPr>
          <w:rFonts w:ascii="Times New Roman" w:eastAsia="Times New Roman" w:hAnsi="Times New Roman" w:cs="Times New Roman"/>
          <w:sz w:val="24"/>
          <w:szCs w:val="24"/>
          <w:lang w:val="en-GB"/>
        </w:rPr>
        <w:t>: until SFS 2022:406</w:t>
      </w:r>
      <w:r w:rsidRPr="003C2C82">
        <w:rPr>
          <w:rFonts w:ascii="Times New Roman" w:eastAsia="Times New Roman" w:hAnsi="Times New Roman" w:cs="Times New Roman"/>
          <w:sz w:val="24"/>
          <w:szCs w:val="24"/>
          <w:lang w:val="en-GB"/>
        </w:rPr>
        <w:br/>
      </w:r>
      <w:r w:rsidRPr="003C2C82">
        <w:rPr>
          <w:rFonts w:ascii="Times New Roman" w:eastAsia="Times New Roman" w:hAnsi="Times New Roman" w:cs="Times New Roman"/>
          <w:b/>
          <w:bCs/>
          <w:sz w:val="24"/>
          <w:szCs w:val="24"/>
          <w:lang w:val="en-GB"/>
        </w:rPr>
        <w:t>Register of amendments</w:t>
      </w:r>
      <w:r w:rsidRPr="003C2C82">
        <w:rPr>
          <w:rFonts w:ascii="Times New Roman" w:eastAsia="Times New Roman" w:hAnsi="Times New Roman" w:cs="Times New Roman"/>
          <w:sz w:val="24"/>
          <w:szCs w:val="24"/>
          <w:lang w:val="en-GB"/>
        </w:rPr>
        <w:t>: </w:t>
      </w:r>
      <w:hyperlink r:id="rId7" w:history="1">
        <w:r w:rsidRPr="003C2C82">
          <w:rPr>
            <w:rFonts w:ascii="Times New Roman" w:eastAsia="Times New Roman" w:hAnsi="Times New Roman" w:cs="Times New Roman"/>
            <w:color w:val="1C5170"/>
            <w:sz w:val="24"/>
            <w:szCs w:val="24"/>
            <w:u w:val="single"/>
            <w:lang w:val="en-GB"/>
          </w:rPr>
          <w:t>SFSR (Government Offices)</w:t>
        </w:r>
      </w:hyperlink>
      <w:r w:rsidRPr="003C2C82">
        <w:rPr>
          <w:rFonts w:ascii="Times New Roman" w:eastAsia="Times New Roman" w:hAnsi="Times New Roman" w:cs="Times New Roman"/>
          <w:sz w:val="24"/>
          <w:szCs w:val="24"/>
          <w:lang w:val="en-GB"/>
        </w:rPr>
        <w:br/>
      </w:r>
      <w:r w:rsidRPr="003C2C82">
        <w:rPr>
          <w:rFonts w:ascii="Times New Roman" w:eastAsia="Times New Roman" w:hAnsi="Times New Roman" w:cs="Times New Roman"/>
          <w:b/>
          <w:bCs/>
          <w:sz w:val="24"/>
          <w:szCs w:val="24"/>
          <w:lang w:val="en-GB"/>
        </w:rPr>
        <w:t>Source</w:t>
      </w:r>
      <w:r w:rsidRPr="003C2C82">
        <w:rPr>
          <w:rFonts w:ascii="Times New Roman" w:eastAsia="Times New Roman" w:hAnsi="Times New Roman" w:cs="Times New Roman"/>
          <w:sz w:val="24"/>
          <w:szCs w:val="24"/>
          <w:lang w:val="en-GB"/>
        </w:rPr>
        <w:t>: </w:t>
      </w:r>
      <w:hyperlink r:id="rId8" w:history="1">
        <w:r w:rsidRPr="003C2C82">
          <w:rPr>
            <w:rFonts w:ascii="Times New Roman" w:eastAsia="Times New Roman" w:hAnsi="Times New Roman" w:cs="Times New Roman"/>
            <w:color w:val="1C5170"/>
            <w:sz w:val="24"/>
            <w:szCs w:val="24"/>
            <w:u w:val="single"/>
            <w:lang w:val="en-GB"/>
          </w:rPr>
          <w:t>Full text (Government Offices)</w:t>
        </w:r>
      </w:hyperlink>
    </w:p>
    <w:p w14:paraId="69CD335A" w14:textId="77777777" w:rsidR="006927CC" w:rsidRPr="003C2C82" w:rsidRDefault="00BC6BD2" w:rsidP="006927CC">
      <w:pPr>
        <w:spacing w:after="60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pict w14:anchorId="20E40C10">
          <v:rect id="_x0000_i1025" style="width:0;height:0" o:hralign="center" o:hrstd="t" o:hr="t" fillcolor="#a0a0a0" stroked="f"/>
        </w:pict>
      </w:r>
    </w:p>
    <w:p w14:paraId="0037EB2D"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0" w:name="Förutsättningar_för_tillträdesförbud"/>
      <w:r w:rsidRPr="003C2C82">
        <w:rPr>
          <w:rFonts w:ascii="Arial" w:eastAsia="Times New Roman" w:hAnsi="Arial" w:cs="Arial"/>
          <w:b/>
          <w:bCs/>
          <w:color w:val="333333"/>
          <w:sz w:val="27"/>
          <w:szCs w:val="27"/>
          <w:lang w:val="en-GB"/>
        </w:rPr>
        <w:t>Conditions for refusal of access</w:t>
      </w:r>
      <w:bookmarkEnd w:id="0"/>
    </w:p>
    <w:p w14:paraId="7C45CAE7"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 w:name="P1"/>
      <w:r w:rsidRPr="003C2C82">
        <w:rPr>
          <w:rFonts w:ascii="inherit" w:eastAsia="Times New Roman" w:hAnsi="inherit" w:cs="Times New Roman"/>
          <w:b/>
          <w:bCs/>
          <w:color w:val="333333"/>
          <w:sz w:val="24"/>
          <w:szCs w:val="24"/>
          <w:lang w:val="en-GB"/>
        </w:rPr>
        <w:t>Section 1</w:t>
      </w:r>
      <w:bookmarkEnd w:id="1"/>
      <w:r w:rsidRPr="003C2C82">
        <w:rPr>
          <w:rFonts w:ascii="inherit" w:eastAsia="Times New Roman" w:hAnsi="inherit" w:cs="Times New Roman"/>
          <w:sz w:val="24"/>
          <w:szCs w:val="24"/>
          <w:lang w:val="en-GB"/>
        </w:rPr>
        <w:t xml:space="preserve">   Under this act, a </w:t>
      </w:r>
      <w:r w:rsidRPr="003C2C82">
        <w:rPr>
          <w:rFonts w:ascii="inherit" w:eastAsia="Times New Roman" w:hAnsi="inherit" w:cs="Times New Roman"/>
          <w:sz w:val="24"/>
          <w:szCs w:val="24"/>
          <w:lang w:val="en-GB"/>
        </w:rPr>
        <w:t>person may be refused from accessing and remaining in a shop, bathing establishment or library where activities aimed at the public are carried out (refusal of access).</w:t>
      </w:r>
    </w:p>
    <w:p w14:paraId="1C85EA8B"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Refusal of access may not apply to a person under the age of fifteen.</w:t>
      </w:r>
    </w:p>
    <w:p w14:paraId="5883AAA4"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 xml:space="preserve">The act does not </w:t>
      </w:r>
      <w:r w:rsidRPr="003C2C82">
        <w:rPr>
          <w:rFonts w:ascii="inherit" w:eastAsia="Times New Roman" w:hAnsi="inherit" w:cs="Times New Roman"/>
          <w:sz w:val="24"/>
          <w:szCs w:val="24"/>
          <w:lang w:val="en-GB"/>
        </w:rPr>
        <w:t>affect the right of the owner of the site to restrict access to it. </w:t>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4E362EBE"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 w:name="P2"/>
      <w:r w:rsidRPr="003C2C82">
        <w:rPr>
          <w:rFonts w:ascii="inherit" w:eastAsia="Times New Roman" w:hAnsi="inherit" w:cs="Times New Roman"/>
          <w:b/>
          <w:bCs/>
          <w:color w:val="333333"/>
          <w:sz w:val="24"/>
          <w:szCs w:val="24"/>
          <w:lang w:val="en-GB"/>
        </w:rPr>
        <w:t>Section 2</w:t>
      </w:r>
      <w:bookmarkEnd w:id="2"/>
      <w:r w:rsidRPr="003C2C82">
        <w:rPr>
          <w:rFonts w:ascii="inherit" w:eastAsia="Times New Roman" w:hAnsi="inherit" w:cs="Times New Roman"/>
          <w:sz w:val="24"/>
          <w:szCs w:val="24"/>
          <w:lang w:val="en-GB"/>
        </w:rPr>
        <w:t>   A person may be refused entry if, due to special circumstances, there is a risk that he or she will commit a crime in the shop, bathing facility or library or s</w:t>
      </w:r>
      <w:r w:rsidRPr="003C2C82">
        <w:rPr>
          <w:rFonts w:ascii="inherit" w:eastAsia="Times New Roman" w:hAnsi="inherit" w:cs="Times New Roman"/>
          <w:sz w:val="24"/>
          <w:szCs w:val="24"/>
          <w:lang w:val="en-GB"/>
        </w:rPr>
        <w:t xml:space="preserve">eriously harass someone who is there. In assessing whether there is such a risk, particular account shall be taken of whether the person has previously committed offences at or in the vicinity of the place. Offences committed before the age of fifteen may </w:t>
      </w:r>
      <w:r w:rsidRPr="003C2C82">
        <w:rPr>
          <w:rFonts w:ascii="inherit" w:eastAsia="Times New Roman" w:hAnsi="inherit" w:cs="Times New Roman"/>
          <w:sz w:val="24"/>
          <w:szCs w:val="24"/>
          <w:lang w:val="en-GB"/>
        </w:rPr>
        <w:t>not be taken into account.</w:t>
      </w:r>
    </w:p>
    <w:p w14:paraId="0FAC0EB6"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A person may also be refused access to a library, other than in the case referred to in the first paragraph, if, due to special circumstances, there is a risk that he or she will substantially disrupt activities or cause signific</w:t>
      </w:r>
      <w:r w:rsidRPr="003C2C82">
        <w:rPr>
          <w:rFonts w:ascii="inherit" w:eastAsia="Times New Roman" w:hAnsi="inherit" w:cs="Times New Roman"/>
          <w:sz w:val="24"/>
          <w:szCs w:val="24"/>
          <w:lang w:val="en-GB"/>
        </w:rPr>
        <w:t>ant damage to property of the library.</w:t>
      </w:r>
    </w:p>
    <w:p w14:paraId="56BD0DDE"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If the purpose of an access ban can be achieved by a less intrusive measure, the ban may not be imposed.</w:t>
      </w:r>
    </w:p>
    <w:p w14:paraId="2DC9EEDE"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Access may be denied only if the reasons for the measure outweigh the intrusion or other harm caused to the indi</w:t>
      </w:r>
      <w:r w:rsidRPr="003C2C82">
        <w:rPr>
          <w:rFonts w:ascii="inherit" w:eastAsia="Times New Roman" w:hAnsi="inherit" w:cs="Times New Roman"/>
          <w:sz w:val="24"/>
          <w:szCs w:val="24"/>
          <w:lang w:val="en-GB"/>
        </w:rPr>
        <w:t>vidual. </w:t>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36DD7FBC"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3" w:name="P2a"/>
      <w:r w:rsidRPr="003C2C82">
        <w:rPr>
          <w:rFonts w:ascii="inherit" w:eastAsia="Times New Roman" w:hAnsi="inherit" w:cs="Times New Roman"/>
          <w:b/>
          <w:bCs/>
          <w:color w:val="333333"/>
          <w:sz w:val="24"/>
          <w:szCs w:val="24"/>
          <w:lang w:val="en-GB"/>
        </w:rPr>
        <w:t>Section 2 a</w:t>
      </w:r>
      <w:bookmarkEnd w:id="3"/>
      <w:r w:rsidRPr="003C2C82">
        <w:rPr>
          <w:rFonts w:ascii="inherit" w:eastAsia="Times New Roman" w:hAnsi="inherit" w:cs="Times New Roman"/>
          <w:sz w:val="24"/>
          <w:szCs w:val="24"/>
          <w:lang w:val="en-GB"/>
        </w:rPr>
        <w:t>   A refusal of access order does not include access to and presence in a place solely for the purpose of voting in elections to the Riksdag, regional councils, municipal councils, the European Parliament or the Sami Parl</w:t>
      </w:r>
      <w:r w:rsidRPr="003C2C82">
        <w:rPr>
          <w:rFonts w:ascii="inherit" w:eastAsia="Times New Roman" w:hAnsi="inherit" w:cs="Times New Roman"/>
          <w:sz w:val="24"/>
          <w:szCs w:val="24"/>
          <w:lang w:val="en-GB"/>
        </w:rPr>
        <w:t>iament or in a referendum.</w:t>
      </w:r>
      <w:r w:rsidRPr="003C2C82">
        <w:rPr>
          <w:rFonts w:ascii="inherit" w:eastAsia="Times New Roman" w:hAnsi="inherit" w:cs="Times New Roman"/>
          <w:sz w:val="24"/>
          <w:szCs w:val="24"/>
          <w:lang w:val="en-GB"/>
        </w:rPr>
        <w:br/>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6A7A14E7"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4" w:name="Tillträdesförbudets_längd"/>
      <w:r w:rsidRPr="003C2C82">
        <w:rPr>
          <w:rFonts w:ascii="Arial" w:eastAsia="Times New Roman" w:hAnsi="Arial" w:cs="Arial"/>
          <w:b/>
          <w:bCs/>
          <w:color w:val="333333"/>
          <w:sz w:val="27"/>
          <w:szCs w:val="27"/>
          <w:lang w:val="en-GB"/>
        </w:rPr>
        <w:lastRenderedPageBreak/>
        <w:t>Duration of the refusal of access order</w:t>
      </w:r>
      <w:bookmarkEnd w:id="4"/>
    </w:p>
    <w:p w14:paraId="6880D84D"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5" w:name="P3"/>
      <w:r w:rsidRPr="003C2C82">
        <w:rPr>
          <w:rFonts w:ascii="inherit" w:eastAsia="Times New Roman" w:hAnsi="inherit" w:cs="Times New Roman"/>
          <w:b/>
          <w:bCs/>
          <w:color w:val="333333"/>
          <w:sz w:val="24"/>
          <w:szCs w:val="24"/>
          <w:lang w:val="en-GB"/>
        </w:rPr>
        <w:t>Section 3</w:t>
      </w:r>
      <w:bookmarkEnd w:id="5"/>
      <w:r w:rsidRPr="003C2C82">
        <w:rPr>
          <w:rFonts w:ascii="inherit" w:eastAsia="Times New Roman" w:hAnsi="inherit" w:cs="Times New Roman"/>
          <w:sz w:val="24"/>
          <w:szCs w:val="24"/>
          <w:lang w:val="en-GB"/>
        </w:rPr>
        <w:t>   A refusal of access order shall be valid for a fixed period, not exceeding one year.</w:t>
      </w:r>
    </w:p>
    <w:p w14:paraId="31F701E0"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Unless otherwise decided, the refusal of access order applies immediately.</w:t>
      </w:r>
    </w:p>
    <w:p w14:paraId="6C0FCA89"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A</w:t>
      </w:r>
      <w:r w:rsidRPr="003C2C82">
        <w:rPr>
          <w:rFonts w:ascii="inherit" w:eastAsia="Times New Roman" w:hAnsi="inherit" w:cs="Times New Roman"/>
          <w:sz w:val="24"/>
          <w:szCs w:val="24"/>
          <w:lang w:val="en-GB"/>
        </w:rPr>
        <w:t xml:space="preserve"> refusal of access order may be extended for a maximum of one year at a time, if the conditions set out in 2 § are met.</w:t>
      </w:r>
    </w:p>
    <w:p w14:paraId="34D9D3A5"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6" w:name="Delgivning_och_handläggningstid"/>
      <w:r w:rsidRPr="003C2C82">
        <w:rPr>
          <w:rFonts w:ascii="Arial" w:eastAsia="Times New Roman" w:hAnsi="Arial" w:cs="Arial"/>
          <w:b/>
          <w:bCs/>
          <w:color w:val="333333"/>
          <w:sz w:val="27"/>
          <w:szCs w:val="27"/>
          <w:lang w:val="en-GB"/>
        </w:rPr>
        <w:t>Service and processing time</w:t>
      </w:r>
      <w:bookmarkEnd w:id="6"/>
    </w:p>
    <w:p w14:paraId="23992DBF"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7" w:name="P4"/>
      <w:r w:rsidRPr="003C2C82">
        <w:rPr>
          <w:rFonts w:ascii="inherit" w:eastAsia="Times New Roman" w:hAnsi="inherit" w:cs="Times New Roman"/>
          <w:b/>
          <w:bCs/>
          <w:color w:val="333333"/>
          <w:sz w:val="24"/>
          <w:szCs w:val="24"/>
          <w:lang w:val="en-GB"/>
        </w:rPr>
        <w:t>Section 4</w:t>
      </w:r>
      <w:bookmarkEnd w:id="7"/>
      <w:r w:rsidRPr="003C2C82">
        <w:rPr>
          <w:rFonts w:ascii="inherit" w:eastAsia="Times New Roman" w:hAnsi="inherit" w:cs="Times New Roman"/>
          <w:sz w:val="24"/>
          <w:szCs w:val="24"/>
          <w:lang w:val="en-GB"/>
        </w:rPr>
        <w:t>   A refusal of access order must be served to the person to whom it relates. Service may not be ef</w:t>
      </w:r>
      <w:r w:rsidRPr="003C2C82">
        <w:rPr>
          <w:rFonts w:ascii="inherit" w:eastAsia="Times New Roman" w:hAnsi="inherit" w:cs="Times New Roman"/>
          <w:sz w:val="24"/>
          <w:szCs w:val="24"/>
          <w:lang w:val="en-GB"/>
        </w:rPr>
        <w:t>fected in accordance with Sections 34-38 and Sections 47-51 of the Service of Process Act (2010:1932).</w:t>
      </w:r>
    </w:p>
    <w:p w14:paraId="467CB2D5"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8" w:name="P5"/>
      <w:r w:rsidRPr="003C2C82">
        <w:rPr>
          <w:rFonts w:ascii="inherit" w:eastAsia="Times New Roman" w:hAnsi="inherit" w:cs="Times New Roman"/>
          <w:b/>
          <w:bCs/>
          <w:color w:val="333333"/>
          <w:sz w:val="24"/>
          <w:szCs w:val="24"/>
          <w:lang w:val="en-GB"/>
        </w:rPr>
        <w:t>Section 5</w:t>
      </w:r>
      <w:bookmarkEnd w:id="8"/>
      <w:r w:rsidRPr="003C2C82">
        <w:rPr>
          <w:rFonts w:ascii="inherit" w:eastAsia="Times New Roman" w:hAnsi="inherit" w:cs="Times New Roman"/>
          <w:sz w:val="24"/>
          <w:szCs w:val="24"/>
          <w:lang w:val="en-GB"/>
        </w:rPr>
        <w:t>   Issues relating to refusal of access must be dealt with promptly.</w:t>
      </w:r>
    </w:p>
    <w:p w14:paraId="38E562EE"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9" w:name="Förfarandet_hos_åklagaren"/>
      <w:r w:rsidRPr="003C2C82">
        <w:rPr>
          <w:rFonts w:ascii="Arial" w:eastAsia="Times New Roman" w:hAnsi="Arial" w:cs="Arial"/>
          <w:b/>
          <w:bCs/>
          <w:color w:val="333333"/>
          <w:sz w:val="27"/>
          <w:szCs w:val="27"/>
          <w:lang w:val="en-GB"/>
        </w:rPr>
        <w:t>Proceedings before the prosecutor</w:t>
      </w:r>
      <w:bookmarkEnd w:id="9"/>
    </w:p>
    <w:p w14:paraId="53111E39"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0" w:name="P6"/>
      <w:r w:rsidRPr="003C2C82">
        <w:rPr>
          <w:rFonts w:ascii="inherit" w:eastAsia="Times New Roman" w:hAnsi="inherit" w:cs="Times New Roman"/>
          <w:b/>
          <w:bCs/>
          <w:color w:val="333333"/>
          <w:sz w:val="24"/>
          <w:szCs w:val="24"/>
          <w:lang w:val="en-GB"/>
        </w:rPr>
        <w:t>Section 6</w:t>
      </w:r>
      <w:bookmarkEnd w:id="10"/>
      <w:r w:rsidRPr="003C2C82">
        <w:rPr>
          <w:rFonts w:ascii="inherit" w:eastAsia="Times New Roman" w:hAnsi="inherit" w:cs="Times New Roman"/>
          <w:sz w:val="24"/>
          <w:szCs w:val="24"/>
          <w:lang w:val="en-GB"/>
        </w:rPr>
        <w:t xml:space="preserve">   The public </w:t>
      </w:r>
      <w:r w:rsidRPr="003C2C82">
        <w:rPr>
          <w:rFonts w:ascii="inherit" w:eastAsia="Times New Roman" w:hAnsi="inherit" w:cs="Times New Roman"/>
          <w:sz w:val="24"/>
          <w:szCs w:val="24"/>
          <w:lang w:val="en-GB"/>
        </w:rPr>
        <w:t>prosecutor examines questions of access refusal.</w:t>
      </w:r>
    </w:p>
    <w:p w14:paraId="52C161C6"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A question of access refusal is raised upon written application by a representative of the shop, bathing facility or library.</w:t>
      </w:r>
    </w:p>
    <w:p w14:paraId="5FD0C670"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A question of access refusal is also raised upon notification by the Swedish Police Authority. However, such notification may only be made with the consent of a representative of the shop, bathing establishment or library. The Police Authority is not a par</w:t>
      </w:r>
      <w:r w:rsidRPr="003C2C82">
        <w:rPr>
          <w:rFonts w:ascii="inherit" w:eastAsia="Times New Roman" w:hAnsi="inherit" w:cs="Times New Roman"/>
          <w:sz w:val="24"/>
          <w:szCs w:val="24"/>
          <w:lang w:val="en-GB"/>
        </w:rPr>
        <w:t>ty to the case that gave rise to the notification. </w:t>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6759AAE6"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1" w:name="P7"/>
      <w:r w:rsidRPr="003C2C82">
        <w:rPr>
          <w:rFonts w:ascii="inherit" w:eastAsia="Times New Roman" w:hAnsi="inherit" w:cs="Times New Roman"/>
          <w:b/>
          <w:bCs/>
          <w:color w:val="333333"/>
          <w:sz w:val="24"/>
          <w:szCs w:val="24"/>
          <w:lang w:val="en-GB"/>
        </w:rPr>
        <w:t>Section 7</w:t>
      </w:r>
      <w:bookmarkEnd w:id="11"/>
      <w:r w:rsidRPr="003C2C82">
        <w:rPr>
          <w:rFonts w:ascii="inherit" w:eastAsia="Times New Roman" w:hAnsi="inherit" w:cs="Times New Roman"/>
          <w:sz w:val="24"/>
          <w:szCs w:val="24"/>
          <w:lang w:val="en-GB"/>
        </w:rPr>
        <w:t>   Questions of access refusal are examined by the public prosecutor of the place where the refusal order is to be applied or where the person against whom the prohibition is to ap</w:t>
      </w:r>
      <w:r w:rsidRPr="003C2C82">
        <w:rPr>
          <w:rFonts w:ascii="inherit" w:eastAsia="Times New Roman" w:hAnsi="inherit" w:cs="Times New Roman"/>
          <w:sz w:val="24"/>
          <w:szCs w:val="24"/>
          <w:lang w:val="en-GB"/>
        </w:rPr>
        <w:t>ply is domiciled or more permanently resides. If that person is suspected of an offence relevant to the issue of a refusal of access, the matter may also be examined by a prosecutor who is competent to prosecute the offence.</w:t>
      </w:r>
    </w:p>
    <w:p w14:paraId="75FE2F30"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In the case of prosecutors, Cha</w:t>
      </w:r>
      <w:r w:rsidRPr="003C2C82">
        <w:rPr>
          <w:rFonts w:ascii="inherit" w:eastAsia="Times New Roman" w:hAnsi="inherit" w:cs="Times New Roman"/>
          <w:sz w:val="24"/>
          <w:szCs w:val="24"/>
          <w:lang w:val="en-GB"/>
        </w:rPr>
        <w:t>pter 7 of the Code of Judicial Procedure applies.</w:t>
      </w:r>
    </w:p>
    <w:p w14:paraId="33654B62"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2" w:name="P8"/>
      <w:r w:rsidRPr="003C2C82">
        <w:rPr>
          <w:rFonts w:ascii="inherit" w:eastAsia="Times New Roman" w:hAnsi="inherit" w:cs="Times New Roman"/>
          <w:b/>
          <w:bCs/>
          <w:color w:val="333333"/>
          <w:sz w:val="24"/>
          <w:szCs w:val="24"/>
          <w:lang w:val="en-GB"/>
        </w:rPr>
        <w:t>Section 8</w:t>
      </w:r>
      <w:bookmarkEnd w:id="12"/>
      <w:r w:rsidRPr="003C2C82">
        <w:rPr>
          <w:rFonts w:ascii="inherit" w:eastAsia="Times New Roman" w:hAnsi="inherit" w:cs="Times New Roman"/>
          <w:sz w:val="24"/>
          <w:szCs w:val="24"/>
          <w:lang w:val="en-GB"/>
        </w:rPr>
        <w:t>   The prosecutor may call on the assistance of the Police Authority for the investigation of issues relating to refusal of access.</w:t>
      </w:r>
    </w:p>
    <w:p w14:paraId="5009CDAF"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The following provisions of Chapter 23 of the Code of Judicial Pr</w:t>
      </w:r>
      <w:r w:rsidRPr="003C2C82">
        <w:rPr>
          <w:rFonts w:ascii="inherit" w:eastAsia="Times New Roman" w:hAnsi="inherit" w:cs="Times New Roman"/>
          <w:sz w:val="24"/>
          <w:szCs w:val="24"/>
          <w:lang w:val="en-GB"/>
        </w:rPr>
        <w:t>ocedure apply to the investigation:</w:t>
      </w:r>
      <w:r w:rsidRPr="003C2C82">
        <w:rPr>
          <w:rFonts w:ascii="inherit" w:eastAsia="Times New Roman" w:hAnsi="inherit" w:cs="Times New Roman"/>
          <w:sz w:val="24"/>
          <w:szCs w:val="24"/>
          <w:lang w:val="en-GB"/>
        </w:rPr>
        <w:br/>
        <w:t>   -Section 4 on objectivity,</w:t>
      </w:r>
      <w:r w:rsidRPr="003C2C82">
        <w:rPr>
          <w:rFonts w:ascii="inherit" w:eastAsia="Times New Roman" w:hAnsi="inherit" w:cs="Times New Roman"/>
          <w:sz w:val="24"/>
          <w:szCs w:val="24"/>
          <w:lang w:val="en-GB"/>
        </w:rPr>
        <w:br/>
        <w:t>   - Section 6 on the right to interrogate,</w:t>
      </w:r>
      <w:r w:rsidRPr="003C2C82">
        <w:rPr>
          <w:rFonts w:ascii="inherit" w:eastAsia="Times New Roman" w:hAnsi="inherit" w:cs="Times New Roman"/>
          <w:sz w:val="24"/>
          <w:szCs w:val="24"/>
          <w:lang w:val="en-GB"/>
        </w:rPr>
        <w:br/>
        <w:t>   - Section 7 on being fetched for interrogation,</w:t>
      </w:r>
      <w:r w:rsidRPr="003C2C82">
        <w:rPr>
          <w:rFonts w:ascii="inherit" w:eastAsia="Times New Roman" w:hAnsi="inherit" w:cs="Times New Roman"/>
          <w:sz w:val="24"/>
          <w:szCs w:val="24"/>
          <w:lang w:val="en-GB"/>
        </w:rPr>
        <w:br/>
        <w:t>   - Section 9 on the obligation to remain for interrogation,</w:t>
      </w:r>
      <w:r w:rsidRPr="003C2C82">
        <w:rPr>
          <w:rFonts w:ascii="inherit" w:eastAsia="Times New Roman" w:hAnsi="inherit" w:cs="Times New Roman"/>
          <w:sz w:val="24"/>
          <w:szCs w:val="24"/>
          <w:lang w:val="en-GB"/>
        </w:rPr>
        <w:br/>
        <w:t>   - Section 10 on who may be pre</w:t>
      </w:r>
      <w:r w:rsidRPr="003C2C82">
        <w:rPr>
          <w:rFonts w:ascii="inherit" w:eastAsia="Times New Roman" w:hAnsi="inherit" w:cs="Times New Roman"/>
          <w:sz w:val="24"/>
          <w:szCs w:val="24"/>
          <w:lang w:val="en-GB"/>
        </w:rPr>
        <w:t>sent at interrogation,</w:t>
      </w:r>
      <w:r w:rsidRPr="003C2C82">
        <w:rPr>
          <w:rFonts w:ascii="inherit" w:eastAsia="Times New Roman" w:hAnsi="inherit" w:cs="Times New Roman"/>
          <w:sz w:val="24"/>
          <w:szCs w:val="24"/>
          <w:lang w:val="en-GB"/>
        </w:rPr>
        <w:br/>
      </w:r>
      <w:r w:rsidRPr="003C2C82">
        <w:rPr>
          <w:rFonts w:ascii="inherit" w:eastAsia="Times New Roman" w:hAnsi="inherit" w:cs="Times New Roman"/>
          <w:sz w:val="24"/>
          <w:szCs w:val="24"/>
          <w:lang w:val="en-GB"/>
        </w:rPr>
        <w:lastRenderedPageBreak/>
        <w:t>   - Section 11 on the possibility of asking questions during interrogation, and</w:t>
      </w:r>
      <w:r w:rsidRPr="003C2C82">
        <w:rPr>
          <w:rFonts w:ascii="inherit" w:eastAsia="Times New Roman" w:hAnsi="inherit" w:cs="Times New Roman"/>
          <w:sz w:val="24"/>
          <w:szCs w:val="24"/>
          <w:lang w:val="en-GB"/>
        </w:rPr>
        <w:br/>
        <w:t>   - Section 12 on the prohibition of improper actions during interrogation.</w:t>
      </w:r>
    </w:p>
    <w:p w14:paraId="23249FAC"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For the application of Chapter 23. Sections 4 and 11 of the Code of Judicia</w:t>
      </w:r>
      <w:r w:rsidRPr="003C2C82">
        <w:rPr>
          <w:rFonts w:ascii="inherit" w:eastAsia="Times New Roman" w:hAnsi="inherit" w:cs="Times New Roman"/>
          <w:sz w:val="24"/>
          <w:szCs w:val="24"/>
          <w:lang w:val="en-GB"/>
        </w:rPr>
        <w:t>l Procedure, the provisions relating to the suspect shall refer instead to the person against whom the prohibition is intended to apply.</w:t>
      </w:r>
    </w:p>
    <w:p w14:paraId="4F0E4EF1"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3" w:name="P9"/>
      <w:r w:rsidRPr="003C2C82">
        <w:rPr>
          <w:rFonts w:ascii="inherit" w:eastAsia="Times New Roman" w:hAnsi="inherit" w:cs="Times New Roman"/>
          <w:b/>
          <w:bCs/>
          <w:color w:val="333333"/>
          <w:sz w:val="24"/>
          <w:szCs w:val="24"/>
          <w:lang w:val="en-GB"/>
        </w:rPr>
        <w:t>Section 9</w:t>
      </w:r>
      <w:bookmarkEnd w:id="13"/>
      <w:r w:rsidRPr="003C2C82">
        <w:rPr>
          <w:rFonts w:ascii="inherit" w:eastAsia="Times New Roman" w:hAnsi="inherit" w:cs="Times New Roman"/>
          <w:sz w:val="24"/>
          <w:szCs w:val="24"/>
          <w:lang w:val="en-GB"/>
        </w:rPr>
        <w:t>   Before deciding on a question of refusal of access, the party must be informed of information that has been</w:t>
      </w:r>
      <w:r w:rsidRPr="003C2C82">
        <w:rPr>
          <w:rFonts w:ascii="inherit" w:eastAsia="Times New Roman" w:hAnsi="inherit" w:cs="Times New Roman"/>
          <w:sz w:val="24"/>
          <w:szCs w:val="24"/>
          <w:lang w:val="en-GB"/>
        </w:rPr>
        <w:t xml:space="preserve"> brought to the attention of the case by someone other than the party and be given an opportunity to give his or her opinion on it. However, the matter may be decided without such action being taken if it is patently unnecessary or if the decision cannot b</w:t>
      </w:r>
      <w:r w:rsidRPr="003C2C82">
        <w:rPr>
          <w:rFonts w:ascii="inherit" w:eastAsia="Times New Roman" w:hAnsi="inherit" w:cs="Times New Roman"/>
          <w:sz w:val="24"/>
          <w:szCs w:val="24"/>
          <w:lang w:val="en-GB"/>
        </w:rPr>
        <w:t>e postponed.</w:t>
      </w:r>
    </w:p>
    <w:p w14:paraId="72F75BFF"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The prosecutor decides how the notification is to be made.</w:t>
      </w:r>
    </w:p>
    <w:p w14:paraId="16914DC9"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The duty of notification applies with the limitations set out in Chapter 10. Section 3 of the Public Access to Information and Secrecy Act (2009:400).</w:t>
      </w:r>
    </w:p>
    <w:p w14:paraId="5F61CD24"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4" w:name="P10"/>
      <w:r w:rsidRPr="003C2C82">
        <w:rPr>
          <w:rFonts w:ascii="inherit" w:eastAsia="Times New Roman" w:hAnsi="inherit" w:cs="Times New Roman"/>
          <w:b/>
          <w:bCs/>
          <w:color w:val="333333"/>
          <w:sz w:val="24"/>
          <w:szCs w:val="24"/>
          <w:lang w:val="en-GB"/>
        </w:rPr>
        <w:t>Section 10</w:t>
      </w:r>
      <w:bookmarkEnd w:id="14"/>
      <w:r w:rsidRPr="003C2C82">
        <w:rPr>
          <w:rFonts w:ascii="inherit" w:eastAsia="Times New Roman" w:hAnsi="inherit" w:cs="Times New Roman"/>
          <w:sz w:val="24"/>
          <w:szCs w:val="24"/>
          <w:lang w:val="en-GB"/>
        </w:rPr>
        <w:t xml:space="preserve">   The decision of the </w:t>
      </w:r>
      <w:r w:rsidRPr="003C2C82">
        <w:rPr>
          <w:rFonts w:ascii="inherit" w:eastAsia="Times New Roman" w:hAnsi="inherit" w:cs="Times New Roman"/>
          <w:sz w:val="24"/>
          <w:szCs w:val="24"/>
          <w:lang w:val="en-GB"/>
        </w:rPr>
        <w:t>prosecutor in respect of a prohibition of access shall be in writing and shall state</w:t>
      </w:r>
      <w:r w:rsidRPr="003C2C82">
        <w:rPr>
          <w:rFonts w:ascii="inherit" w:eastAsia="Times New Roman" w:hAnsi="inherit" w:cs="Times New Roman"/>
          <w:sz w:val="24"/>
          <w:szCs w:val="24"/>
          <w:lang w:val="en-GB"/>
        </w:rPr>
        <w:br/>
        <w:t>   1. the parties and the Police Authority if it has made an application under Section 6, paragraph 3,</w:t>
      </w:r>
      <w:r w:rsidRPr="003C2C82">
        <w:rPr>
          <w:rFonts w:ascii="inherit" w:eastAsia="Times New Roman" w:hAnsi="inherit" w:cs="Times New Roman"/>
          <w:sz w:val="24"/>
          <w:szCs w:val="24"/>
          <w:lang w:val="en-GB"/>
        </w:rPr>
        <w:br/>
        <w:t xml:space="preserve">   2. whether a refusal of access order is to apply and, if so, the </w:t>
      </w:r>
      <w:r w:rsidRPr="003C2C82">
        <w:rPr>
          <w:rFonts w:ascii="inherit" w:eastAsia="Times New Roman" w:hAnsi="inherit" w:cs="Times New Roman"/>
          <w:sz w:val="24"/>
          <w:szCs w:val="24"/>
          <w:lang w:val="en-GB"/>
        </w:rPr>
        <w:t>meaning and scope of the order and when it will expire,</w:t>
      </w:r>
      <w:r w:rsidRPr="003C2C82">
        <w:rPr>
          <w:rFonts w:ascii="inherit" w:eastAsia="Times New Roman" w:hAnsi="inherit" w:cs="Times New Roman"/>
          <w:sz w:val="24"/>
          <w:szCs w:val="24"/>
          <w:lang w:val="en-GB"/>
        </w:rPr>
        <w:br/>
        <w:t>   3. the reasons that determined the outcome,</w:t>
      </w:r>
      <w:r w:rsidRPr="003C2C82">
        <w:rPr>
          <w:rFonts w:ascii="inherit" w:eastAsia="Times New Roman" w:hAnsi="inherit" w:cs="Times New Roman"/>
          <w:sz w:val="24"/>
          <w:szCs w:val="24"/>
          <w:lang w:val="en-GB"/>
        </w:rPr>
        <w:br/>
        <w:t>   4. the provisions invoked,</w:t>
      </w:r>
      <w:r w:rsidRPr="003C2C82">
        <w:rPr>
          <w:rFonts w:ascii="inherit" w:eastAsia="Times New Roman" w:hAnsi="inherit" w:cs="Times New Roman"/>
          <w:sz w:val="24"/>
          <w:szCs w:val="24"/>
          <w:lang w:val="en-GB"/>
        </w:rPr>
        <w:br/>
        <w:t>   5. the possible consequences of breaching the prohibition order; and</w:t>
      </w:r>
      <w:r w:rsidRPr="003C2C82">
        <w:rPr>
          <w:rFonts w:ascii="inherit" w:eastAsia="Times New Roman" w:hAnsi="inherit" w:cs="Times New Roman"/>
          <w:sz w:val="24"/>
          <w:szCs w:val="24"/>
          <w:lang w:val="en-GB"/>
        </w:rPr>
        <w:br/>
        <w:t xml:space="preserve">   6. the possibility of requesting a review under </w:t>
      </w:r>
      <w:r w:rsidRPr="003C2C82">
        <w:rPr>
          <w:rFonts w:ascii="inherit" w:eastAsia="Times New Roman" w:hAnsi="inherit" w:cs="Times New Roman"/>
          <w:sz w:val="24"/>
          <w:szCs w:val="24"/>
          <w:lang w:val="en-GB"/>
        </w:rPr>
        <w:t>Section 12 and judicial proceedings under Section 13.</w:t>
      </w:r>
    </w:p>
    <w:p w14:paraId="4607D5F7"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5" w:name="P11"/>
      <w:r w:rsidRPr="003C2C82">
        <w:rPr>
          <w:rFonts w:ascii="inherit" w:eastAsia="Times New Roman" w:hAnsi="inherit" w:cs="Times New Roman"/>
          <w:b/>
          <w:bCs/>
          <w:color w:val="333333"/>
          <w:sz w:val="24"/>
          <w:szCs w:val="24"/>
          <w:lang w:val="en-GB"/>
        </w:rPr>
        <w:t>Section 11</w:t>
      </w:r>
      <w:bookmarkEnd w:id="15"/>
      <w:r w:rsidRPr="003C2C82">
        <w:rPr>
          <w:rFonts w:ascii="inherit" w:eastAsia="Times New Roman" w:hAnsi="inherit" w:cs="Times New Roman"/>
          <w:sz w:val="24"/>
          <w:szCs w:val="24"/>
          <w:lang w:val="en-GB"/>
        </w:rPr>
        <w:t>   The following provisions of the Administrative Procedure Act (2017:900) apply to the handling of cases concerning access refusal orders by the prosecutor:</w:t>
      </w:r>
      <w:r w:rsidRPr="003C2C82">
        <w:rPr>
          <w:rFonts w:ascii="inherit" w:eastAsia="Times New Roman" w:hAnsi="inherit" w:cs="Times New Roman"/>
          <w:sz w:val="24"/>
          <w:szCs w:val="24"/>
          <w:lang w:val="en-GB"/>
        </w:rPr>
        <w:br/>
        <w:t>   -Section 5 on legality, objecti</w:t>
      </w:r>
      <w:r w:rsidRPr="003C2C82">
        <w:rPr>
          <w:rFonts w:ascii="inherit" w:eastAsia="Times New Roman" w:hAnsi="inherit" w:cs="Times New Roman"/>
          <w:sz w:val="24"/>
          <w:szCs w:val="24"/>
          <w:lang w:val="en-GB"/>
        </w:rPr>
        <w:t>vity and proportionality,</w:t>
      </w:r>
      <w:r w:rsidRPr="003C2C82">
        <w:rPr>
          <w:rFonts w:ascii="inherit" w:eastAsia="Times New Roman" w:hAnsi="inherit" w:cs="Times New Roman"/>
          <w:sz w:val="24"/>
          <w:szCs w:val="24"/>
          <w:lang w:val="en-GB"/>
        </w:rPr>
        <w:br/>
        <w:t>   - Section 6 on service,</w:t>
      </w:r>
      <w:r w:rsidRPr="003C2C82">
        <w:rPr>
          <w:rFonts w:ascii="inherit" w:eastAsia="Times New Roman" w:hAnsi="inherit" w:cs="Times New Roman"/>
          <w:sz w:val="24"/>
          <w:szCs w:val="24"/>
          <w:lang w:val="en-GB"/>
        </w:rPr>
        <w:br/>
        <w:t>   - Section 7 on accessibility,</w:t>
      </w:r>
      <w:r w:rsidRPr="003C2C82">
        <w:rPr>
          <w:rFonts w:ascii="inherit" w:eastAsia="Times New Roman" w:hAnsi="inherit" w:cs="Times New Roman"/>
          <w:sz w:val="24"/>
          <w:szCs w:val="24"/>
          <w:lang w:val="en-GB"/>
        </w:rPr>
        <w:br/>
        <w:t>   - Section 8 on cooperation,</w:t>
      </w:r>
      <w:r w:rsidRPr="003C2C82">
        <w:rPr>
          <w:rFonts w:ascii="inherit" w:eastAsia="Times New Roman" w:hAnsi="inherit" w:cs="Times New Roman"/>
          <w:sz w:val="24"/>
          <w:szCs w:val="24"/>
          <w:lang w:val="en-GB"/>
        </w:rPr>
        <w:br/>
        <w:t>   - Section 9 on the starting points for the procedure,</w:t>
      </w:r>
      <w:r w:rsidRPr="003C2C82">
        <w:rPr>
          <w:rFonts w:ascii="inherit" w:eastAsia="Times New Roman" w:hAnsi="inherit" w:cs="Times New Roman"/>
          <w:sz w:val="24"/>
          <w:szCs w:val="24"/>
          <w:lang w:val="en-GB"/>
        </w:rPr>
        <w:br/>
        <w:t>   - Section 11 on measures in the event of delays in the procedure,</w:t>
      </w:r>
      <w:r w:rsidRPr="003C2C82">
        <w:rPr>
          <w:rFonts w:ascii="inherit" w:eastAsia="Times New Roman" w:hAnsi="inherit" w:cs="Times New Roman"/>
          <w:sz w:val="24"/>
          <w:szCs w:val="24"/>
          <w:lang w:val="en-GB"/>
        </w:rPr>
        <w:br/>
        <w:t xml:space="preserve">   - Section </w:t>
      </w:r>
      <w:r w:rsidRPr="003C2C82">
        <w:rPr>
          <w:rFonts w:ascii="inherit" w:eastAsia="Times New Roman" w:hAnsi="inherit" w:cs="Times New Roman"/>
          <w:sz w:val="24"/>
          <w:szCs w:val="24"/>
          <w:lang w:val="en-GB"/>
        </w:rPr>
        <w:t>13 on interpretation and translation,</w:t>
      </w:r>
      <w:r w:rsidRPr="003C2C82">
        <w:rPr>
          <w:rFonts w:ascii="inherit" w:eastAsia="Times New Roman" w:hAnsi="inherit" w:cs="Times New Roman"/>
          <w:sz w:val="24"/>
          <w:szCs w:val="24"/>
          <w:lang w:val="en-GB"/>
        </w:rPr>
        <w:br/>
        <w:t>   - Sections 14 and 15 on representatives and assistants,</w:t>
      </w:r>
      <w:r w:rsidRPr="003C2C82">
        <w:rPr>
          <w:rFonts w:ascii="inherit" w:eastAsia="Times New Roman" w:hAnsi="inherit" w:cs="Times New Roman"/>
          <w:sz w:val="24"/>
          <w:szCs w:val="24"/>
          <w:lang w:val="en-GB"/>
        </w:rPr>
        <w:br/>
        <w:t>   - Section 23 on the responsibility to investigate,</w:t>
      </w:r>
      <w:r w:rsidRPr="003C2C82">
        <w:rPr>
          <w:rFonts w:ascii="inherit" w:eastAsia="Times New Roman" w:hAnsi="inherit" w:cs="Times New Roman"/>
          <w:sz w:val="24"/>
          <w:szCs w:val="24"/>
          <w:lang w:val="en-GB"/>
        </w:rPr>
        <w:br/>
        <w:t>   - Section 24 on when information may be provided orally,</w:t>
      </w:r>
      <w:r w:rsidRPr="003C2C82">
        <w:rPr>
          <w:rFonts w:ascii="inherit" w:eastAsia="Times New Roman" w:hAnsi="inherit" w:cs="Times New Roman"/>
          <w:sz w:val="24"/>
          <w:szCs w:val="24"/>
          <w:lang w:val="en-GB"/>
        </w:rPr>
        <w:br/>
        <w:t>   - Section 27 on documentation of data,</w:t>
      </w:r>
      <w:r w:rsidRPr="003C2C82">
        <w:rPr>
          <w:rFonts w:ascii="inherit" w:eastAsia="Times New Roman" w:hAnsi="inherit" w:cs="Times New Roman"/>
          <w:sz w:val="24"/>
          <w:szCs w:val="24"/>
          <w:lang w:val="en-GB"/>
        </w:rPr>
        <w:br/>
        <w:t>   </w:t>
      </w:r>
      <w:r w:rsidRPr="003C2C82">
        <w:rPr>
          <w:rFonts w:ascii="inherit" w:eastAsia="Times New Roman" w:hAnsi="inherit" w:cs="Times New Roman"/>
          <w:sz w:val="24"/>
          <w:szCs w:val="24"/>
          <w:lang w:val="en-GB"/>
        </w:rPr>
        <w:t>- Section 31 on the documentation of decisions,</w:t>
      </w:r>
      <w:r w:rsidRPr="003C2C82">
        <w:rPr>
          <w:rFonts w:ascii="inherit" w:eastAsia="Times New Roman" w:hAnsi="inherit" w:cs="Times New Roman"/>
          <w:sz w:val="24"/>
          <w:szCs w:val="24"/>
          <w:lang w:val="en-GB"/>
        </w:rPr>
        <w:br/>
        <w:t>   - Section 32(1), (2) and (3) on the statement of reasons for decisions, and</w:t>
      </w:r>
      <w:r w:rsidRPr="003C2C82">
        <w:rPr>
          <w:rFonts w:ascii="inherit" w:eastAsia="Times New Roman" w:hAnsi="inherit" w:cs="Times New Roman"/>
          <w:sz w:val="24"/>
          <w:szCs w:val="24"/>
          <w:lang w:val="en-GB"/>
        </w:rPr>
        <w:br/>
        <w:t>   - Section 36 on the correction of clerical errors and the like.</w:t>
      </w:r>
    </w:p>
    <w:p w14:paraId="35A8302F"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6" w:name="P12"/>
      <w:r w:rsidRPr="003C2C82">
        <w:rPr>
          <w:rFonts w:ascii="inherit" w:eastAsia="Times New Roman" w:hAnsi="inherit" w:cs="Times New Roman"/>
          <w:b/>
          <w:bCs/>
          <w:color w:val="333333"/>
          <w:sz w:val="24"/>
          <w:szCs w:val="24"/>
          <w:lang w:val="en-GB"/>
        </w:rPr>
        <w:t>Section 12</w:t>
      </w:r>
      <w:bookmarkEnd w:id="16"/>
      <w:r w:rsidRPr="003C2C82">
        <w:rPr>
          <w:rFonts w:ascii="inherit" w:eastAsia="Times New Roman" w:hAnsi="inherit" w:cs="Times New Roman"/>
          <w:sz w:val="24"/>
          <w:szCs w:val="24"/>
          <w:lang w:val="en-GB"/>
        </w:rPr>
        <w:t xml:space="preserve">   If there are grounds to do so due to a change in </w:t>
      </w:r>
      <w:r w:rsidRPr="003C2C82">
        <w:rPr>
          <w:rFonts w:ascii="inherit" w:eastAsia="Times New Roman" w:hAnsi="inherit" w:cs="Times New Roman"/>
          <w:sz w:val="24"/>
          <w:szCs w:val="24"/>
          <w:lang w:val="en-GB"/>
        </w:rPr>
        <w:t xml:space="preserve">circumstances, the prosecutor may revoke or amend an order on refusal of access taken by the prosecutor </w:t>
      </w:r>
      <w:r w:rsidRPr="003C2C82">
        <w:rPr>
          <w:rFonts w:ascii="inherit" w:eastAsia="Times New Roman" w:hAnsi="inherit" w:cs="Times New Roman"/>
          <w:sz w:val="24"/>
          <w:szCs w:val="24"/>
          <w:lang w:val="en-GB"/>
        </w:rPr>
        <w:lastRenderedPageBreak/>
        <w:t>or the court. However, the prosecutor may extend an order only if requested by a representative of the shop, bathing establishment or library.</w:t>
      </w:r>
    </w:p>
    <w:p w14:paraId="104D518B"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The prose</w:t>
      </w:r>
      <w:r w:rsidRPr="003C2C82">
        <w:rPr>
          <w:rFonts w:ascii="inherit" w:eastAsia="Times New Roman" w:hAnsi="inherit" w:cs="Times New Roman"/>
          <w:sz w:val="24"/>
          <w:szCs w:val="24"/>
          <w:lang w:val="en-GB"/>
        </w:rPr>
        <w:t>cutor may not revoke or modify an access refusal order if the order is subject to judicial proceedings.</w:t>
      </w:r>
      <w:r w:rsidRPr="003C2C82">
        <w:rPr>
          <w:rFonts w:ascii="inherit" w:eastAsia="Times New Roman" w:hAnsi="inherit" w:cs="Times New Roman"/>
          <w:sz w:val="24"/>
          <w:szCs w:val="24"/>
          <w:lang w:val="en-GB"/>
        </w:rPr>
        <w:br/>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013E0C81"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17" w:name="Domstolsprövning"/>
      <w:r w:rsidRPr="003C2C82">
        <w:rPr>
          <w:rFonts w:ascii="Arial" w:eastAsia="Times New Roman" w:hAnsi="Arial" w:cs="Arial"/>
          <w:b/>
          <w:bCs/>
          <w:color w:val="333333"/>
          <w:sz w:val="27"/>
          <w:szCs w:val="27"/>
          <w:lang w:val="en-GB"/>
        </w:rPr>
        <w:t>Judicial proceedings</w:t>
      </w:r>
      <w:bookmarkEnd w:id="17"/>
    </w:p>
    <w:p w14:paraId="44725D85"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8" w:name="P13"/>
      <w:r w:rsidRPr="003C2C82">
        <w:rPr>
          <w:rFonts w:ascii="inherit" w:eastAsia="Times New Roman" w:hAnsi="inherit" w:cs="Times New Roman"/>
          <w:b/>
          <w:bCs/>
          <w:color w:val="333333"/>
          <w:sz w:val="24"/>
          <w:szCs w:val="24"/>
          <w:lang w:val="en-GB"/>
        </w:rPr>
        <w:t>Section 13</w:t>
      </w:r>
      <w:bookmarkEnd w:id="18"/>
      <w:r w:rsidRPr="003C2C82">
        <w:rPr>
          <w:rFonts w:ascii="inherit" w:eastAsia="Times New Roman" w:hAnsi="inherit" w:cs="Times New Roman"/>
          <w:sz w:val="24"/>
          <w:szCs w:val="24"/>
          <w:lang w:val="en-GB"/>
        </w:rPr>
        <w:t>   The district court shall review the prosecutor's decision on a prohibition of access at the request of a party if the decision has gone against the party. Such a request must be made in writing to the public prosecutor, who shall forward the case to the</w:t>
      </w:r>
      <w:r w:rsidRPr="003C2C82">
        <w:rPr>
          <w:rFonts w:ascii="inherit" w:eastAsia="Times New Roman" w:hAnsi="inherit" w:cs="Times New Roman"/>
          <w:sz w:val="24"/>
          <w:szCs w:val="24"/>
          <w:lang w:val="en-GB"/>
        </w:rPr>
        <w:t xml:space="preserve"> district court.</w:t>
      </w:r>
    </w:p>
    <w:p w14:paraId="727A9B0B"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19" w:name="P14"/>
      <w:r w:rsidRPr="003C2C82">
        <w:rPr>
          <w:rFonts w:ascii="inherit" w:eastAsia="Times New Roman" w:hAnsi="inherit" w:cs="Times New Roman"/>
          <w:b/>
          <w:bCs/>
          <w:color w:val="333333"/>
          <w:sz w:val="24"/>
          <w:szCs w:val="24"/>
          <w:lang w:val="en-GB"/>
        </w:rPr>
        <w:t>Section 14</w:t>
      </w:r>
      <w:bookmarkEnd w:id="19"/>
      <w:r w:rsidRPr="003C2C82">
        <w:rPr>
          <w:rFonts w:ascii="inherit" w:eastAsia="Times New Roman" w:hAnsi="inherit" w:cs="Times New Roman"/>
          <w:sz w:val="24"/>
          <w:szCs w:val="24"/>
          <w:lang w:val="en-GB"/>
        </w:rPr>
        <w:t>   The competent court is the district court where the prosecutor who has examined the question of an order of refusal of access is to conduct the proceedings in criminal cases in general.</w:t>
      </w:r>
    </w:p>
    <w:p w14:paraId="649AF798"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0" w:name="P15"/>
      <w:r w:rsidRPr="003C2C82">
        <w:rPr>
          <w:rFonts w:ascii="inherit" w:eastAsia="Times New Roman" w:hAnsi="inherit" w:cs="Times New Roman"/>
          <w:b/>
          <w:bCs/>
          <w:color w:val="333333"/>
          <w:sz w:val="24"/>
          <w:szCs w:val="24"/>
          <w:lang w:val="en-GB"/>
        </w:rPr>
        <w:t>Section 15</w:t>
      </w:r>
      <w:bookmarkEnd w:id="20"/>
      <w:r w:rsidRPr="003C2C82">
        <w:rPr>
          <w:rFonts w:ascii="inherit" w:eastAsia="Times New Roman" w:hAnsi="inherit" w:cs="Times New Roman"/>
          <w:sz w:val="24"/>
          <w:szCs w:val="24"/>
          <w:lang w:val="en-GB"/>
        </w:rPr>
        <w:t>   If the public prosecutor ha</w:t>
      </w:r>
      <w:r w:rsidRPr="003C2C82">
        <w:rPr>
          <w:rFonts w:ascii="inherit" w:eastAsia="Times New Roman" w:hAnsi="inherit" w:cs="Times New Roman"/>
          <w:sz w:val="24"/>
          <w:szCs w:val="24"/>
          <w:lang w:val="en-GB"/>
        </w:rPr>
        <w:t>s ordered an order on refusal of access, he or she is obliged, at the request of a representative of the shop, bathing establishment or library, to bring the case before the court, unless there are special reasons for not doing so.</w:t>
      </w:r>
    </w:p>
    <w:p w14:paraId="28197323"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 xml:space="preserve">The court shall request </w:t>
      </w:r>
      <w:r w:rsidRPr="003C2C82">
        <w:rPr>
          <w:rFonts w:ascii="inherit" w:eastAsia="Times New Roman" w:hAnsi="inherit" w:cs="Times New Roman"/>
          <w:sz w:val="24"/>
          <w:szCs w:val="24"/>
          <w:lang w:val="en-GB"/>
        </w:rPr>
        <w:t>the opinion of the prosecutor, unless this is unnecessary. </w:t>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7362D549"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1" w:name="P16"/>
      <w:r w:rsidRPr="003C2C82">
        <w:rPr>
          <w:rFonts w:ascii="inherit" w:eastAsia="Times New Roman" w:hAnsi="inherit" w:cs="Times New Roman"/>
          <w:b/>
          <w:bCs/>
          <w:color w:val="333333"/>
          <w:sz w:val="24"/>
          <w:szCs w:val="24"/>
          <w:lang w:val="en-GB"/>
        </w:rPr>
        <w:t>Section 16</w:t>
      </w:r>
      <w:bookmarkEnd w:id="21"/>
      <w:r w:rsidRPr="003C2C82">
        <w:rPr>
          <w:rFonts w:ascii="inherit" w:eastAsia="Times New Roman" w:hAnsi="inherit" w:cs="Times New Roman"/>
          <w:sz w:val="24"/>
          <w:szCs w:val="24"/>
          <w:lang w:val="en-GB"/>
        </w:rPr>
        <w:t>   The court may decide that an order of refusal of access shall not apply for the time being. If refusal of access has not been ordered before, the court may order such a</w:t>
      </w:r>
      <w:r w:rsidRPr="003C2C82">
        <w:rPr>
          <w:rFonts w:ascii="inherit" w:eastAsia="Times New Roman" w:hAnsi="inherit" w:cs="Times New Roman"/>
          <w:sz w:val="24"/>
          <w:szCs w:val="24"/>
          <w:lang w:val="en-GB"/>
        </w:rPr>
        <w:t xml:space="preserve"> prohibition until the case has been finally decided.</w:t>
      </w:r>
    </w:p>
    <w:p w14:paraId="319D4DFA"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2" w:name="P17"/>
      <w:r w:rsidRPr="003C2C82">
        <w:rPr>
          <w:rFonts w:ascii="inherit" w:eastAsia="Times New Roman" w:hAnsi="inherit" w:cs="Times New Roman"/>
          <w:b/>
          <w:bCs/>
          <w:color w:val="333333"/>
          <w:sz w:val="24"/>
          <w:szCs w:val="24"/>
          <w:lang w:val="en-GB"/>
        </w:rPr>
        <w:t>Section 17</w:t>
      </w:r>
      <w:bookmarkEnd w:id="22"/>
      <w:r w:rsidRPr="003C2C82">
        <w:rPr>
          <w:rFonts w:ascii="inherit" w:eastAsia="Times New Roman" w:hAnsi="inherit" w:cs="Times New Roman"/>
          <w:sz w:val="24"/>
          <w:szCs w:val="24"/>
          <w:lang w:val="en-GB"/>
        </w:rPr>
        <w:t>   The court shall hold a meeting if a party so requests.</w:t>
      </w:r>
    </w:p>
    <w:p w14:paraId="7AC53E6B"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3" w:name="P18"/>
      <w:r w:rsidRPr="003C2C82">
        <w:rPr>
          <w:rFonts w:ascii="inherit" w:eastAsia="Times New Roman" w:hAnsi="inherit" w:cs="Times New Roman"/>
          <w:b/>
          <w:bCs/>
          <w:color w:val="333333"/>
          <w:sz w:val="24"/>
          <w:szCs w:val="24"/>
          <w:lang w:val="en-GB"/>
        </w:rPr>
        <w:t>Section 18</w:t>
      </w:r>
      <w:bookmarkEnd w:id="23"/>
      <w:r w:rsidRPr="003C2C82">
        <w:rPr>
          <w:rFonts w:ascii="inherit" w:eastAsia="Times New Roman" w:hAnsi="inherit" w:cs="Times New Roman"/>
          <w:sz w:val="24"/>
          <w:szCs w:val="24"/>
          <w:lang w:val="en-GB"/>
        </w:rPr>
        <w:t>   When deciding on a case, the district court consists of a law-earned judge and three lay judges. In other proceedings, th</w:t>
      </w:r>
      <w:r w:rsidRPr="003C2C82">
        <w:rPr>
          <w:rFonts w:ascii="inherit" w:eastAsia="Times New Roman" w:hAnsi="inherit" w:cs="Times New Roman"/>
          <w:sz w:val="24"/>
          <w:szCs w:val="24"/>
          <w:lang w:val="en-GB"/>
        </w:rPr>
        <w:t>e district court consists of a law-earned judge.</w:t>
      </w:r>
    </w:p>
    <w:p w14:paraId="7BF87D76"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Voting shall be governed by the provisions of Chapter 29 of the Code of Judicial Procedure.</w:t>
      </w:r>
    </w:p>
    <w:p w14:paraId="06F21BF8"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4" w:name="P19"/>
      <w:r w:rsidRPr="003C2C82">
        <w:rPr>
          <w:rFonts w:ascii="inherit" w:eastAsia="Times New Roman" w:hAnsi="inherit" w:cs="Times New Roman"/>
          <w:b/>
          <w:bCs/>
          <w:color w:val="333333"/>
          <w:sz w:val="24"/>
          <w:szCs w:val="24"/>
          <w:lang w:val="en-GB"/>
        </w:rPr>
        <w:t>Section 19</w:t>
      </w:r>
      <w:bookmarkEnd w:id="24"/>
      <w:r w:rsidRPr="003C2C82">
        <w:rPr>
          <w:rFonts w:ascii="inherit" w:eastAsia="Times New Roman" w:hAnsi="inherit" w:cs="Times New Roman"/>
          <w:sz w:val="24"/>
          <w:szCs w:val="24"/>
          <w:lang w:val="en-GB"/>
        </w:rPr>
        <w:t>   Each party shall bear its own costs, except in the case referred to in Chapter 18. Section 6 of the Co</w:t>
      </w:r>
      <w:r w:rsidRPr="003C2C82">
        <w:rPr>
          <w:rFonts w:ascii="inherit" w:eastAsia="Times New Roman" w:hAnsi="inherit" w:cs="Times New Roman"/>
          <w:sz w:val="24"/>
          <w:szCs w:val="24"/>
          <w:lang w:val="en-GB"/>
        </w:rPr>
        <w:t>de of Judicial Procedure.</w:t>
      </w:r>
    </w:p>
    <w:p w14:paraId="1127B590"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5" w:name="P20"/>
      <w:r w:rsidRPr="003C2C82">
        <w:rPr>
          <w:rFonts w:ascii="inherit" w:eastAsia="Times New Roman" w:hAnsi="inherit" w:cs="Times New Roman"/>
          <w:b/>
          <w:bCs/>
          <w:color w:val="333333"/>
          <w:sz w:val="24"/>
          <w:szCs w:val="24"/>
          <w:lang w:val="en-GB"/>
        </w:rPr>
        <w:t>Section 20</w:t>
      </w:r>
      <w:bookmarkEnd w:id="25"/>
      <w:r w:rsidRPr="003C2C82">
        <w:rPr>
          <w:rFonts w:ascii="inherit" w:eastAsia="Times New Roman" w:hAnsi="inherit" w:cs="Times New Roman"/>
          <w:sz w:val="24"/>
          <w:szCs w:val="24"/>
          <w:lang w:val="en-GB"/>
        </w:rPr>
        <w:t>   The Court Matters Act (1996:242) shall also apply to the proceedings of cases concerning access prohibition by the court. In the case of a request for review under Section 13, the provisions of that Act apply to the a</w:t>
      </w:r>
      <w:r w:rsidRPr="003C2C82">
        <w:rPr>
          <w:rFonts w:ascii="inherit" w:eastAsia="Times New Roman" w:hAnsi="inherit" w:cs="Times New Roman"/>
          <w:sz w:val="24"/>
          <w:szCs w:val="24"/>
          <w:lang w:val="en-GB"/>
        </w:rPr>
        <w:t>pplication.</w:t>
      </w:r>
    </w:p>
    <w:p w14:paraId="3B6D1F31"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6" w:name="P21"/>
      <w:r w:rsidRPr="003C2C82">
        <w:rPr>
          <w:rFonts w:ascii="inherit" w:eastAsia="Times New Roman" w:hAnsi="inherit" w:cs="Times New Roman"/>
          <w:b/>
          <w:bCs/>
          <w:color w:val="333333"/>
          <w:sz w:val="24"/>
          <w:szCs w:val="24"/>
          <w:lang w:val="en-GB"/>
        </w:rPr>
        <w:t>Section 21</w:t>
      </w:r>
      <w:bookmarkEnd w:id="26"/>
      <w:r w:rsidRPr="003C2C82">
        <w:rPr>
          <w:rFonts w:ascii="inherit" w:eastAsia="Times New Roman" w:hAnsi="inherit" w:cs="Times New Roman"/>
          <w:sz w:val="24"/>
          <w:szCs w:val="24"/>
          <w:lang w:val="en-GB"/>
        </w:rPr>
        <w:t>   When the court is reviewing a decision on an order of refusal of access and the person against whom the order is intended for is suspected of an offence relevant to the review of the question of the prohibition, the decision may be</w:t>
      </w:r>
      <w:r w:rsidRPr="003C2C82">
        <w:rPr>
          <w:rFonts w:ascii="inherit" w:eastAsia="Times New Roman" w:hAnsi="inherit" w:cs="Times New Roman"/>
          <w:sz w:val="24"/>
          <w:szCs w:val="24"/>
          <w:lang w:val="en-GB"/>
        </w:rPr>
        <w:t xml:space="preserve"> reviewed in cases of </w:t>
      </w:r>
      <w:r w:rsidRPr="003C2C82">
        <w:rPr>
          <w:rFonts w:ascii="inherit" w:eastAsia="Times New Roman" w:hAnsi="inherit" w:cs="Times New Roman"/>
          <w:sz w:val="24"/>
          <w:szCs w:val="24"/>
          <w:lang w:val="en-GB"/>
        </w:rPr>
        <w:lastRenderedPageBreak/>
        <w:t>public prosecution relating to the offence. In such a case, the rules of criminal trial procedure apply.</w:t>
      </w:r>
    </w:p>
    <w:p w14:paraId="64527862"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27" w:name="Straffansvar"/>
      <w:r w:rsidRPr="003C2C82">
        <w:rPr>
          <w:rFonts w:ascii="Arial" w:eastAsia="Times New Roman" w:hAnsi="Arial" w:cs="Arial"/>
          <w:b/>
          <w:bCs/>
          <w:color w:val="333333"/>
          <w:sz w:val="27"/>
          <w:szCs w:val="27"/>
          <w:lang w:val="en-GB"/>
        </w:rPr>
        <w:t>Criminal liability</w:t>
      </w:r>
      <w:bookmarkEnd w:id="27"/>
    </w:p>
    <w:p w14:paraId="4AE142C9"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28" w:name="P22"/>
      <w:r w:rsidRPr="003C2C82">
        <w:rPr>
          <w:rFonts w:ascii="inherit" w:eastAsia="Times New Roman" w:hAnsi="inherit" w:cs="Times New Roman"/>
          <w:b/>
          <w:bCs/>
          <w:color w:val="333333"/>
          <w:sz w:val="24"/>
          <w:szCs w:val="24"/>
          <w:lang w:val="en-GB"/>
        </w:rPr>
        <w:t>Section 22</w:t>
      </w:r>
      <w:bookmarkEnd w:id="28"/>
      <w:r w:rsidRPr="003C2C82">
        <w:rPr>
          <w:rFonts w:ascii="inherit" w:eastAsia="Times New Roman" w:hAnsi="inherit" w:cs="Times New Roman"/>
          <w:sz w:val="24"/>
          <w:szCs w:val="24"/>
          <w:lang w:val="en-GB"/>
        </w:rPr>
        <w:t xml:space="preserve">   Anyone who violates an order on refusal of access can be fined or imprisoned for up to six </w:t>
      </w:r>
      <w:r w:rsidRPr="003C2C82">
        <w:rPr>
          <w:rFonts w:ascii="inherit" w:eastAsia="Times New Roman" w:hAnsi="inherit" w:cs="Times New Roman"/>
          <w:sz w:val="24"/>
          <w:szCs w:val="24"/>
          <w:lang w:val="en-GB"/>
        </w:rPr>
        <w:t>months.</w:t>
      </w:r>
    </w:p>
    <w:p w14:paraId="3ECBE42C"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r w:rsidRPr="003C2C82">
        <w:rPr>
          <w:rFonts w:ascii="inherit" w:eastAsia="Times New Roman" w:hAnsi="inherit" w:cs="Times New Roman"/>
          <w:sz w:val="24"/>
          <w:szCs w:val="24"/>
          <w:lang w:val="en-GB"/>
        </w:rPr>
        <w:t>In minor cases, liability should not be imposed.</w:t>
      </w:r>
    </w:p>
    <w:p w14:paraId="2EFD4CF1" w14:textId="77777777" w:rsidR="006927CC" w:rsidRPr="003C2C82" w:rsidRDefault="00BC6BD2" w:rsidP="006927CC">
      <w:pPr>
        <w:spacing w:before="100" w:beforeAutospacing="1" w:after="100" w:afterAutospacing="1" w:line="240" w:lineRule="auto"/>
        <w:outlineLvl w:val="3"/>
        <w:rPr>
          <w:rFonts w:ascii="Arial" w:eastAsia="Times New Roman" w:hAnsi="Arial" w:cs="Arial"/>
          <w:b/>
          <w:bCs/>
          <w:color w:val="222222"/>
          <w:sz w:val="27"/>
          <w:szCs w:val="27"/>
          <w:lang w:val="sv-SE"/>
        </w:rPr>
      </w:pPr>
      <w:bookmarkStart w:id="29" w:name="Personuppgiftsbehandling"/>
      <w:r w:rsidRPr="003C2C82">
        <w:rPr>
          <w:rFonts w:ascii="Arial" w:eastAsia="Times New Roman" w:hAnsi="Arial" w:cs="Arial"/>
          <w:b/>
          <w:bCs/>
          <w:color w:val="333333"/>
          <w:sz w:val="27"/>
          <w:szCs w:val="27"/>
          <w:lang w:val="en-GB"/>
        </w:rPr>
        <w:t>Processing of personal data</w:t>
      </w:r>
      <w:bookmarkEnd w:id="29"/>
    </w:p>
    <w:p w14:paraId="467D950A"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30" w:name="P23"/>
      <w:r w:rsidRPr="003C2C82">
        <w:rPr>
          <w:rFonts w:ascii="inherit" w:eastAsia="Times New Roman" w:hAnsi="inherit" w:cs="Times New Roman"/>
          <w:b/>
          <w:bCs/>
          <w:color w:val="333333"/>
          <w:sz w:val="24"/>
          <w:szCs w:val="24"/>
          <w:lang w:val="en-GB"/>
        </w:rPr>
        <w:t>Section 23</w:t>
      </w:r>
      <w:bookmarkEnd w:id="30"/>
      <w:r w:rsidRPr="003C2C82">
        <w:rPr>
          <w:rFonts w:ascii="inherit" w:eastAsia="Times New Roman" w:hAnsi="inherit" w:cs="Times New Roman"/>
          <w:sz w:val="24"/>
          <w:szCs w:val="24"/>
          <w:lang w:val="en-GB"/>
        </w:rPr>
        <w:t xml:space="preserve">   Personal data referred to in Article 10 of Regulation (EU) 2016/679 of the European Parliament and of the Council of 27 April 2016 on the protection of </w:t>
      </w:r>
      <w:r w:rsidRPr="003C2C82">
        <w:rPr>
          <w:rFonts w:ascii="inherit" w:eastAsia="Times New Roman" w:hAnsi="inherit" w:cs="Times New Roman"/>
          <w:sz w:val="24"/>
          <w:szCs w:val="24"/>
          <w:lang w:val="en-GB"/>
        </w:rPr>
        <w:t>natural persons with regard to the processing of personal data and on the free movement of such data and repealing Directive 95/46/EC (General Data Protection Regulation) may be processed in the activities of the shop or bathing establishment or library sp</w:t>
      </w:r>
      <w:r w:rsidRPr="003C2C82">
        <w:rPr>
          <w:rFonts w:ascii="inherit" w:eastAsia="Times New Roman" w:hAnsi="inherit" w:cs="Times New Roman"/>
          <w:sz w:val="24"/>
          <w:szCs w:val="24"/>
          <w:lang w:val="en-GB"/>
        </w:rPr>
        <w:t>ecified in the decision on refusal of access if necessary to prevent or detect a breach of the access refusal order.</w:t>
      </w:r>
      <w:r w:rsidRPr="003C2C82">
        <w:rPr>
          <w:rFonts w:ascii="inherit" w:eastAsia="Times New Roman" w:hAnsi="inherit" w:cs="Times New Roman"/>
          <w:sz w:val="24"/>
          <w:szCs w:val="24"/>
          <w:lang w:val="en-GB"/>
        </w:rPr>
        <w:br/>
      </w:r>
      <w:r w:rsidRPr="003C2C82">
        <w:rPr>
          <w:rFonts w:ascii="inherit" w:eastAsia="Times New Roman" w:hAnsi="inherit" w:cs="Times New Roman"/>
          <w:i/>
          <w:iCs/>
          <w:sz w:val="24"/>
          <w:szCs w:val="24"/>
          <w:lang w:val="en-GB"/>
        </w:rPr>
        <w:t>Act (2022:406)</w:t>
      </w:r>
      <w:r w:rsidRPr="003C2C82">
        <w:rPr>
          <w:rFonts w:ascii="inherit" w:eastAsia="Times New Roman" w:hAnsi="inherit" w:cs="Times New Roman"/>
          <w:sz w:val="24"/>
          <w:szCs w:val="24"/>
          <w:lang w:val="en-GB"/>
        </w:rPr>
        <w:t>.</w:t>
      </w:r>
    </w:p>
    <w:p w14:paraId="5ACB7227" w14:textId="77777777" w:rsidR="006927CC" w:rsidRPr="003C2C82" w:rsidRDefault="00BC6BD2" w:rsidP="006927CC">
      <w:pPr>
        <w:spacing w:before="100" w:beforeAutospacing="1" w:after="100" w:afterAutospacing="1" w:line="240" w:lineRule="auto"/>
        <w:rPr>
          <w:rFonts w:ascii="inherit" w:eastAsia="Times New Roman" w:hAnsi="inherit" w:cs="Times New Roman"/>
          <w:sz w:val="24"/>
          <w:szCs w:val="24"/>
          <w:lang w:val="sv-SE"/>
        </w:rPr>
      </w:pPr>
      <w:bookmarkStart w:id="31" w:name="P24"/>
      <w:r w:rsidRPr="003C2C82">
        <w:rPr>
          <w:rFonts w:ascii="inherit" w:eastAsia="Times New Roman" w:hAnsi="inherit" w:cs="Times New Roman"/>
          <w:b/>
          <w:bCs/>
          <w:color w:val="333333"/>
          <w:sz w:val="24"/>
          <w:szCs w:val="24"/>
          <w:lang w:val="en-GB"/>
        </w:rPr>
        <w:t>Section 24</w:t>
      </w:r>
      <w:bookmarkEnd w:id="31"/>
      <w:r w:rsidRPr="003C2C82">
        <w:rPr>
          <w:rFonts w:ascii="inherit" w:eastAsia="Times New Roman" w:hAnsi="inherit" w:cs="Times New Roman"/>
          <w:sz w:val="24"/>
          <w:szCs w:val="24"/>
          <w:lang w:val="en-GB"/>
        </w:rPr>
        <w:t xml:space="preserve">   The processing of personal data pursuant to Section 23 may not take place after the period of validity of the </w:t>
      </w:r>
      <w:r w:rsidRPr="003C2C82">
        <w:rPr>
          <w:rFonts w:ascii="inherit" w:eastAsia="Times New Roman" w:hAnsi="inherit" w:cs="Times New Roman"/>
          <w:sz w:val="24"/>
          <w:szCs w:val="24"/>
          <w:lang w:val="en-GB"/>
        </w:rPr>
        <w:t>access refusal order has expired or if the access refusal order has previously been lifted.</w:t>
      </w:r>
    </w:p>
    <w:p w14:paraId="69201497" w14:textId="77777777" w:rsidR="00606BCC" w:rsidRPr="003C2C82" w:rsidRDefault="00606BCC">
      <w:pPr>
        <w:rPr>
          <w:lang w:val="sv-SE"/>
        </w:rPr>
      </w:pPr>
    </w:p>
    <w:sectPr w:rsidR="00606BCC" w:rsidRPr="003C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CC"/>
    <w:rsid w:val="003C2C82"/>
    <w:rsid w:val="00606BCC"/>
    <w:rsid w:val="006927CC"/>
    <w:rsid w:val="00BC6B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DBAB80-A1C3-4E13-836C-9B4E7060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7C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rPr>
  </w:style>
  <w:style w:type="paragraph" w:styleId="Heading4">
    <w:name w:val="heading 4"/>
    <w:basedOn w:val="Normal"/>
    <w:link w:val="Heading4Char"/>
    <w:uiPriority w:val="9"/>
    <w:qFormat/>
    <w:rsid w:val="006927CC"/>
    <w:pPr>
      <w:spacing w:before="100" w:beforeAutospacing="1" w:after="100" w:afterAutospacing="1" w:line="240" w:lineRule="auto"/>
      <w:outlineLvl w:val="3"/>
    </w:pPr>
    <w:rPr>
      <w:rFonts w:ascii="Times New Roman" w:eastAsia="Times New Roman" w:hAnsi="Times New Roman" w:cs="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7CC"/>
    <w:rPr>
      <w:rFonts w:ascii="Times New Roman" w:eastAsia="Times New Roman" w:hAnsi="Times New Roman" w:cs="Times New Roman"/>
      <w:b/>
      <w:bCs/>
      <w:kern w:val="36"/>
      <w:sz w:val="48"/>
      <w:szCs w:val="48"/>
      <w:lang w:val="x-none"/>
    </w:rPr>
  </w:style>
  <w:style w:type="character" w:customStyle="1" w:styleId="Heading4Char">
    <w:name w:val="Heading 4 Char"/>
    <w:basedOn w:val="DefaultParagraphFont"/>
    <w:link w:val="Heading4"/>
    <w:uiPriority w:val="9"/>
    <w:rsid w:val="006927CC"/>
    <w:rPr>
      <w:rFonts w:ascii="Times New Roman" w:eastAsia="Times New Roman" w:hAnsi="Times New Roman" w:cs="Times New Roman"/>
      <w:b/>
      <w:bCs/>
      <w:sz w:val="24"/>
      <w:szCs w:val="24"/>
      <w:lang w:val="x-none"/>
    </w:rPr>
  </w:style>
  <w:style w:type="character" w:styleId="Hyperlink">
    <w:name w:val="Hyperlink"/>
    <w:basedOn w:val="DefaultParagraphFont"/>
    <w:uiPriority w:val="99"/>
    <w:semiHidden/>
    <w:unhideWhenUsed/>
    <w:rsid w:val="006927CC"/>
    <w:rPr>
      <w:color w:val="0000FF"/>
      <w:u w:val="single"/>
    </w:rPr>
  </w:style>
  <w:style w:type="paragraph" w:styleId="NormalWeb">
    <w:name w:val="Normal (Web)"/>
    <w:basedOn w:val="Normal"/>
    <w:uiPriority w:val="99"/>
    <w:semiHidden/>
    <w:unhideWhenUsed/>
    <w:rsid w:val="006927CC"/>
    <w:pPr>
      <w:spacing w:before="100" w:beforeAutospacing="1" w:after="100" w:afterAutospacing="1"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krattsbaser.gov.se/sfst?bet=2021:34" TargetMode="External"/><Relationship Id="rId3" Type="http://schemas.openxmlformats.org/officeDocument/2006/relationships/customXml" Target="../customXml/item3.xml"/><Relationship Id="rId7" Type="http://schemas.openxmlformats.org/officeDocument/2006/relationships/hyperlink" Target="http://rkrattsbaser.gov.se/sfsr?bet=2021: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1e5a7c-5954-47ee-8371-ea173dee6003" xsi:nil="true"/>
    <lcf76f155ced4ddcb4097134ff3c332f xmlns="e5cfdb92-8470-4cc3-8240-814395613d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E2FA54BBD3348AA16EF4E9D9D1946" ma:contentTypeVersion="11" ma:contentTypeDescription="Crée un document." ma:contentTypeScope="" ma:versionID="9eabdc44c730a6c746f686d0df413979">
  <xsd:schema xmlns:xsd="http://www.w3.org/2001/XMLSchema" xmlns:xs="http://www.w3.org/2001/XMLSchema" xmlns:p="http://schemas.microsoft.com/office/2006/metadata/properties" xmlns:ns2="e5cfdb92-8470-4cc3-8240-814395613d1f" xmlns:ns3="fc1e5a7c-5954-47ee-8371-ea173dee6003" targetNamespace="http://schemas.microsoft.com/office/2006/metadata/properties" ma:root="true" ma:fieldsID="8b60287ffe783171d76304c70047f8eb" ns2:_="" ns3:_="">
    <xsd:import namespace="e5cfdb92-8470-4cc3-8240-814395613d1f"/>
    <xsd:import namespace="fc1e5a7c-5954-47ee-8371-ea173dee60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db92-8470-4cc3-8240-814395613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bd3137f-67a6-4959-9e56-d0943b34d1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1e5a7c-5954-47ee-8371-ea173dee60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dd8c07-1d9e-413f-a1bc-21db54abc285}" ma:internalName="TaxCatchAll" ma:showField="CatchAllData" ma:web="fc1e5a7c-5954-47ee-8371-ea173dee60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E3A8C-CB1E-4174-A2A1-CF4DADA0B9E3}">
  <ds:schemaRefs>
    <ds:schemaRef ds:uri="http://schemas.microsoft.com/sharepoint/v3/contenttype/forms"/>
  </ds:schemaRefs>
</ds:datastoreItem>
</file>

<file path=customXml/itemProps2.xml><?xml version="1.0" encoding="utf-8"?>
<ds:datastoreItem xmlns:ds="http://schemas.openxmlformats.org/officeDocument/2006/customXml" ds:itemID="{AC53FABA-8348-46A5-A1E0-180FE2B6FDFB}">
  <ds:schemaRefs>
    <ds:schemaRef ds:uri="http://schemas.microsoft.com/office/2006/metadata/properties"/>
    <ds:schemaRef ds:uri="http://schemas.microsoft.com/office/infopath/2007/PartnerControls"/>
    <ds:schemaRef ds:uri="721b924f-6648-41f5-87dc-298e3f706262"/>
    <ds:schemaRef ds:uri="fc1e5a7c-5954-47ee-8371-ea173dee6003"/>
    <ds:schemaRef ds:uri="e5cfdb92-8470-4cc3-8240-814395613d1f"/>
  </ds:schemaRefs>
</ds:datastoreItem>
</file>

<file path=customXml/itemProps3.xml><?xml version="1.0" encoding="utf-8"?>
<ds:datastoreItem xmlns:ds="http://schemas.openxmlformats.org/officeDocument/2006/customXml" ds:itemID="{BBED8F6F-3593-425D-91A4-4AAC5A30F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db92-8470-4cc3-8240-814395613d1f"/>
    <ds:schemaRef ds:uri="fc1e5a7c-5954-47ee-8371-ea173dee6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4</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Morel</dc:creator>
  <cp:lastModifiedBy>Onur Bakir</cp:lastModifiedBy>
  <cp:revision>2</cp:revision>
  <dcterms:created xsi:type="dcterms:W3CDTF">2023-01-26T15:54:00Z</dcterms:created>
  <dcterms:modified xsi:type="dcterms:W3CDTF">2023-01-26T15:54:00Z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0x01010003AD4F0A7C9B244FA848B4053929499600F2A3A2B69CDE93439B499880365BF139</vt:lpwstr>
  </property>
  <property fmtid="{D5CDD505-2E9C-101B-9397-08002B2CF9AE}" pid="3" name="_dlc_DocIdItemGuid">
    <vt:lpwstr>9a85c4f1-b3dd-416f-9068-f38f8994e71c</vt:lpwstr>
  </property>
</Properties>
</file>